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00"/>
        <w:tblBorders>
          <w:top w:val="none" w:color="FFFFFF" w:sz="0"/>
          <w:left w:val="none" w:color="FFFFFF" w:sz="0"/>
          <w:bottom w:val="single" w:color="C4BBD2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400"/>
        <w:gridCol w:w="42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C4BBD2" w:sz="4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</w:tcPr>
          <w:p>
            <w:pPr>
              <w:spacing w:after="2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pacing w:val="24"/>
                <w:sz w:val="26"/>
                <w:szCs w:val="26"/>
              </w:rPr>
              <w:t xml:space="preserve">TOP-SAD</w:t>
            </w:r>
          </w:p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6379"/>
                <w:spacing w:val="20"/>
                <w:sz w:val="15"/>
                <w:szCs w:val="15"/>
              </w:rPr>
              <w:t xml:space="preserve">AGENCJA CELNA · KRAKÓW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C4BBD2" w:sz="4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</w:tcPr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ul. Nad Drwiną 10, 30-741 Kraków</w:t>
            </w:r>
          </w:p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tel. 504 545 514 · 501 684 407 · 12 653 55 09</w:t>
            </w:r>
          </w:p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topsadkrakow@gmail.com</w:t>
            </w:r>
          </w:p>
          <w:p>
            <w:pPr>
              <w:spacing w:after="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NIP 677-135-77-37 · REGON 351536786</w:t>
            </w:r>
          </w:p>
        </w:tc>
      </w:tr>
    </w:tbl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20" w:before="0" w:line="276"/>
        <w:jc w:val="right"/>
      </w:pPr>
      <w:r>
        <w:rPr>
          <w:rFonts w:ascii="Calibri" w:cs="Calibri" w:eastAsia="Calibri" w:hAnsi="Calibri"/>
          <w:color w:val="C4BBD2"/>
          <w:sz w:val="21"/>
          <w:szCs w:val="21"/>
        </w:rPr>
        <w:t xml:space="preserve">..................................................</w:t>
      </w:r>
    </w:p>
    <w:p>
      <w:pPr>
        <w:spacing w:after="240" w:before="0" w:line="276"/>
        <w:jc w:val="right"/>
      </w:pPr>
      <w:r>
        <w:rPr>
          <w:rFonts w:ascii="Calibri" w:cs="Calibri" w:eastAsia="Calibri" w:hAnsi="Calibri"/>
          <w:color w:val="6B6379"/>
          <w:sz w:val="16"/>
          <w:szCs w:val="16"/>
        </w:rPr>
        <w:t xml:space="preserve">place and date</w:t>
      </w:r>
    </w:p>
    <w:p>
      <w:pPr>
        <w:spacing w:after="200" w:before="200"/>
      </w:pPr>
      <w:r>
        <w:rPr>
          <w:rFonts w:ascii="Calibri" w:cs="Calibri" w:eastAsia="Calibri" w:hAnsi="Calibri"/>
          <w:b/>
          <w:bCs/>
          <w:color w:val="221B29"/>
          <w:spacing w:val="12"/>
          <w:sz w:val="30"/>
          <w:szCs w:val="30"/>
        </w:rPr>
        <w:t xml:space="preserve">AUTHORIZATION</w:t>
      </w:r>
    </w:p>
    <w:p>
      <w:pPr>
        <w:pBdr>
          <w:bottom w:val="single" w:color="C4BBD2" w:sz="6"/>
        </w:pBdr>
        <w:spacing w:after="160" w:before="60"/>
      </w:pPr>
      <w:r>
        <w:rPr>
          <w:sz w:val="2"/>
          <w:szCs w:val="2"/>
        </w:rPr>
        <w:t xml:space="preserve"/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Principal</w:t>
      </w:r>
    </w:p>
    <w:tbl>
      <w:tblPr>
        <w:tblW w:type="dxa" w:w="9600"/>
        <w:tblBorders>
          <w:top w:val="single" w:color="C4BBD2" w:sz="4"/>
          <w:left w:val="single" w:color="C4BBD2" w:sz="4"/>
          <w:bottom w:val="single" w:color="C4BBD2" w:sz="4"/>
          <w:right w:val="single" w:color="C4BBD2" w:sz="4"/>
          <w:insideH w:val="single" w:color="C4BBD2" w:sz="4"/>
          <w:insideV w:val="single" w:color="C4BBD2" w:sz="4"/>
        </w:tblBorders>
      </w:tblPr>
      <w:tblGrid>
        <w:gridCol w:w="3000"/>
        <w:gridCol w:w="6600"/>
      </w:tblGrid>
      <w:tr>
        <w:tc>
          <w:tcPr>
            <w:tcW w:type="dxa" w:w="30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Company / full name</w:t>
            </w:r>
          </w:p>
        </w:tc>
        <w:tc>
          <w:tcPr>
            <w:tcW w:type="dxa" w:w="6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0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Registered address</w:t>
            </w:r>
          </w:p>
        </w:tc>
        <w:tc>
          <w:tcPr>
            <w:tcW w:type="dxa" w:w="6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0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VAT / Tax ID</w:t>
            </w:r>
          </w:p>
        </w:tc>
        <w:tc>
          <w:tcPr>
            <w:tcW w:type="dxa" w:w="6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0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EORI number</w:t>
            </w:r>
          </w:p>
        </w:tc>
        <w:tc>
          <w:tcPr>
            <w:tcW w:type="dxa" w:w="6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0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Contact person, phone</w:t>
            </w:r>
          </w:p>
        </w:tc>
        <w:tc>
          <w:tcPr>
            <w:tcW w:type="dxa" w:w="6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</w:tbl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Scope of authorization</w:t>
      </w:r>
    </w:p>
    <w:p>
      <w:pPr>
        <w:spacing w:after="14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Pursuant to Articles 18 and 19 of Regulation (EU) No 952/2013 of the European Parliament and of the Council laying down the Union Customs Code, the Principal hereby authorizes:</w:t>
      </w:r>
    </w:p>
    <w:p>
      <w:pPr>
        <w:spacing w:after="40" w:before="0" w:line="276"/>
      </w:pPr>
      <w:r>
        <w:rPr>
          <w:rFonts w:ascii="Calibri" w:cs="Calibri" w:eastAsia="Calibri" w:hAnsi="Calibri"/>
          <w:b/>
          <w:bCs/>
          <w:color w:val="221B29"/>
          <w:sz w:val="21"/>
          <w:szCs w:val="21"/>
        </w:rPr>
        <w:t xml:space="preserve">TOP-SAD Customs Agency, ul. Nad Drwiną 10, 30-741 Kraków, Poland</w:t>
      </w:r>
    </w:p>
    <w:p>
      <w:pPr>
        <w:spacing w:after="1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and its employees and customs agents acting on its behalf to represent the Principal before the customs and fiscal authorities of the Republic of Poland.</w:t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Type of representation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☐  direct representation - in the name of and on behalf of the Principal</w:t>
      </w:r>
    </w:p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☐  indirect representation - in its own name but on behalf of the Principal</w:t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The representative is authorized to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1.  Lodge customs declarations for import, export, transit and special procedures.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2.  Submit declarations, applications, guarantees and any other documents required by customs and tax law.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3.  Collect documents, decisions and goods released from the customs procedure.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4.  Pay customs duties and taxes and apply for their repayment or remission.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5.  Attend customs examinations, sampling and sign the related protocols.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6.  File appeals, complaints and other submissions to be examined by the customs and fiscal authorities.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7.  Apply for issuance and endorsement of certificates of origin and movement certificates EUR.1 and A.TR.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8.  Apply for an EORI number and update the data in the register.</w:t>
      </w:r>
    </w:p>
    <w:p>
      <w:pPr>
        <w:spacing w:after="4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9.  ..............................................................................................................................................</w:t>
      </w:r>
    </w:p>
    <w:p>
      <w:pPr>
        <w:spacing w:after="200" w:before="0" w:line="276"/>
      </w:pPr>
      <w:r>
        <w:rPr>
          <w:rFonts w:ascii="Calibri" w:cs="Calibri" w:eastAsia="Calibri" w:hAnsi="Calibri"/>
          <w:i/>
          <w:iCs/>
          <w:color w:val="6B6379"/>
          <w:sz w:val="16"/>
          <w:szCs w:val="16"/>
        </w:rPr>
        <w:t xml:space="preserve">(additional scope - to be completed if required)</w:t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Validity</w:t>
      </w:r>
    </w:p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☐  until revoked          ☐  until  ...........................          ☐  single use, declaration no.  ...........................</w:t>
      </w:r>
    </w:p>
    <w:p>
      <w:pPr>
        <w:spacing w:after="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This authorization includes the right to grant further authorizations to the employees of TOP-SAD Customs Agency within the scope stated above.</w:t>
      </w:r>
    </w:p>
    <w:tbl>
      <w:tblPr>
        <w:tblW w:type="dxa" w:w="96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left w:type="dxa" w:w="0"/>
              <w:bottom w:type="dxa" w:w="0"/>
              <w:right w:type="dxa" w:w="240"/>
            </w:tcMar>
          </w:tcPr>
          <w:p>
            <w:pPr>
              <w:pBdr>
                <w:bottom w:val="single" w:color="C4BBD2" w:sz="6"/>
              </w:pBdr>
              <w:spacing w:after="60"/>
            </w:pPr>
            <w:r>
              <w:rPr>
                <w:sz w:val="2"/>
                <w:szCs w:val="2"/>
              </w:rPr>
              <w:t xml:space="preserve"/>
            </w:r>
          </w:p>
          <w:p>
            <w:pPr>
              <w:spacing w:after="0" w:before="0" w:line="276"/>
              <w:jc w:val="center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company stamp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left w:type="dxa" w:w="240"/>
              <w:bottom w:type="dxa" w:w="0"/>
              <w:right w:type="dxa" w:w="0"/>
            </w:tcMar>
          </w:tcPr>
          <w:p>
            <w:pPr>
              <w:pBdr>
                <w:bottom w:val="single" w:color="C4BBD2" w:sz="6"/>
              </w:pBdr>
              <w:spacing w:after="60"/>
            </w:pPr>
            <w:r>
              <w:rPr>
                <w:sz w:val="2"/>
                <w:szCs w:val="2"/>
              </w:rPr>
              <w:t xml:space="preserve"/>
            </w:r>
          </w:p>
          <w:p>
            <w:pPr>
              <w:spacing w:after="0" w:before="0" w:line="276"/>
              <w:jc w:val="center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signature of the authorized representative</w:t>
            </w:r>
          </w:p>
        </w:tc>
      </w:tr>
    </w:tbl>
    <w:p>
      <w:pPr>
        <w:pBdr>
          <w:top w:val="single" w:color="C4BBD2" w:sz="4"/>
        </w:pBdr>
        <w:spacing w:after="0" w:before="300"/>
      </w:pPr>
      <w:r>
        <w:rPr>
          <w:rFonts w:ascii="Calibri" w:cs="Calibri" w:eastAsia="Calibri" w:hAnsi="Calibri"/>
          <w:i/>
          <w:iCs/>
          <w:color w:val="6B6379"/>
          <w:sz w:val="16"/>
          <w:szCs w:val="16"/>
        </w:rPr>
        <w:t xml:space="preserve">TOP-SAD Customs Agency · ul. Nad Drwiną 10, 30-741 Kraków, Poland · phone +48 504 545 514 · topsadkrakow@gmail.com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1B29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2026-08-22T12:48:15.605Z</dcterms:created>
  <dcterms:modified xsi:type="dcterms:W3CDTF">2026-08-22T12:48:15.605Z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